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4623F1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31E7B934" w:rsidR="00C72BB7" w:rsidRPr="004623F1" w:rsidRDefault="001C6EBD">
            <w:r>
              <w:rPr>
                <w:b/>
              </w:rPr>
              <w:t>Sessão 1: Esfera, Dinheiro e Mercados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4623F1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4623F1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6057ABFA" w:rsidR="007217EB" w:rsidRPr="004623F1" w:rsidRDefault="007217EB" w:rsidP="007217EB">
            <w:r>
              <w:rPr>
                <w:b/>
              </w:rPr>
              <w:t>Nota:</w:t>
            </w:r>
            <w:r>
              <w:t xml:space="preserve"> Esta sessão baseia-se principalmente </w:t>
            </w:r>
            <w:r w:rsidR="008356C6">
              <w:t>em</w:t>
            </w:r>
            <w:r>
              <w:t xml:space="preserve"> conhecimentos (explicando as opções de resposta baseadas </w:t>
            </w:r>
            <w:r w:rsidR="008356C6">
              <w:t>em</w:t>
            </w:r>
            <w:r>
              <w:t xml:space="preserve"> dinheiro e mercado</w:t>
            </w:r>
            <w:r w:rsidR="008356C6">
              <w:t>s</w:t>
            </w:r>
            <w:r>
              <w:t xml:space="preserve">) e é parcialmente orientada para a atitude (aumentando a consciência do valor potencial da utilização de uma abordagem baseada </w:t>
            </w:r>
            <w:r w:rsidR="008356C6">
              <w:t>em</w:t>
            </w:r>
            <w:r>
              <w:t xml:space="preserve"> dinheiro para prestar ajuda e </w:t>
            </w:r>
            <w:r w:rsidR="008356C6">
              <w:t xml:space="preserve">incentivando </w:t>
            </w:r>
            <w:r>
              <w:t xml:space="preserve">os participantes a avaliar e analisar ativamente a viabilidade de </w:t>
            </w:r>
            <w:r w:rsidR="008356C6">
              <w:t>uma</w:t>
            </w:r>
            <w:r>
              <w:t xml:space="preserve"> programação </w:t>
            </w:r>
            <w:r w:rsidR="008356C6">
              <w:t xml:space="preserve">desse tipo </w:t>
            </w:r>
            <w:r>
              <w:t>numa determinada resposta de emergência). Explica e defende a utilização da programação da ajuda em dinheiro (CBA) em todos os contextos adequados, com base numa análise cuidadosa de cada situação de crise. Salienta a importância da análise d</w:t>
            </w:r>
            <w:r w:rsidR="008356C6">
              <w:t>o</w:t>
            </w:r>
            <w:r>
              <w:t xml:space="preserve"> mercado, e considera os sistemas baseados em dinheiro e as questões de gestão da cadeia de abastecimento como alternativas a uma resposta humanitária em espécie. A sessão inclui:</w:t>
            </w:r>
          </w:p>
          <w:p w14:paraId="2E36C716" w14:textId="38B31881" w:rsidR="007217EB" w:rsidRPr="004623F1" w:rsidRDefault="007217EB" w:rsidP="00F90606">
            <w:pPr>
              <w:tabs>
                <w:tab w:val="left" w:pos="240"/>
              </w:tabs>
              <w:ind w:left="251" w:hanging="251"/>
            </w:pPr>
            <w:r>
              <w:t>1.</w:t>
            </w:r>
            <w:r>
              <w:tab/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“Vista de Notas”, que explicam os temas-chave nos diapositivos e fornecem instruções para as atividades e a sua avaliação.</w:t>
            </w:r>
          </w:p>
          <w:p w14:paraId="55DA55FA" w14:textId="1EC9DD58" w:rsidR="00A249F7" w:rsidRPr="004623F1" w:rsidRDefault="007217EB" w:rsidP="00F90606">
            <w:pPr>
              <w:tabs>
                <w:tab w:val="left" w:pos="240"/>
              </w:tabs>
              <w:ind w:left="251" w:hanging="251"/>
            </w:pPr>
            <w:r>
              <w:t>2.</w:t>
            </w:r>
            <w:r>
              <w:tab/>
            </w:r>
            <w:r>
              <w:rPr>
                <w:b/>
              </w:rPr>
              <w:t>Uma atividade de dramatização</w:t>
            </w:r>
            <w:r w:rsidR="008356C6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 xml:space="preserve">a ser realizada individualmente pelos participantes, na qual </w:t>
            </w:r>
            <w:r w:rsidR="008356C6">
              <w:t xml:space="preserve">assumem </w:t>
            </w:r>
            <w:r>
              <w:t>o papel d</w:t>
            </w:r>
            <w:r w:rsidR="008356C6">
              <w:t>e</w:t>
            </w:r>
            <w:r>
              <w:t xml:space="preserve"> sobreviventes de um sismo</w:t>
            </w:r>
            <w:r w:rsidR="008356C6">
              <w:t>,</w:t>
            </w:r>
            <w:r>
              <w:t xml:space="preserve"> que devem orçamentar as suas necessidades imediatas para os próximos 2 meses.</w:t>
            </w:r>
          </w:p>
          <w:p w14:paraId="06805590" w14:textId="413D47B8" w:rsidR="007217EB" w:rsidRPr="004623F1" w:rsidRDefault="00A249F7" w:rsidP="00F90606">
            <w:pPr>
              <w:tabs>
                <w:tab w:val="left" w:pos="240"/>
              </w:tabs>
              <w:ind w:left="251" w:hanging="251"/>
            </w:pPr>
            <w:r>
              <w:t>3.</w:t>
            </w:r>
            <w:r>
              <w:tab/>
            </w:r>
            <w:r>
              <w:rPr>
                <w:b/>
              </w:rPr>
              <w:t>Um exercício em pequenos grupos</w:t>
            </w:r>
            <w:r w:rsidR="008356C6">
              <w:rPr>
                <w:b/>
              </w:rPr>
              <w:t>,</w:t>
            </w:r>
            <w:r>
              <w:t xml:space="preserve"> que combina exemplos específicos de diferentes tipos de programação da ajuda em dinheiro com as necessidades humanitárias.</w:t>
            </w:r>
          </w:p>
          <w:p w14:paraId="42B5B2DA" w14:textId="66F53402" w:rsidR="003329CB" w:rsidRPr="004623F1" w:rsidRDefault="008A3E1E" w:rsidP="00F90606">
            <w:pPr>
              <w:tabs>
                <w:tab w:val="left" w:pos="240"/>
              </w:tabs>
              <w:ind w:left="247" w:hanging="251"/>
            </w:pPr>
            <w:r>
              <w:t>4.</w:t>
            </w:r>
            <w:r>
              <w:tab/>
            </w:r>
            <w:r>
              <w:rPr>
                <w:b/>
              </w:rPr>
              <w:t>Um pequeno vídeo</w:t>
            </w:r>
            <w:r>
              <w:t xml:space="preserve"> que ilustra diferentes formas de programação da ajuda em dinheiro para diferentes grupos de pessoas</w:t>
            </w:r>
            <w:r w:rsidR="008356C6">
              <w:t>,</w:t>
            </w:r>
            <w:r>
              <w:t xml:space="preserve"> identificadas numa resposta específica. O vídeo demonstra a diversidade das opções de programação da ajuda em dinheiro.</w:t>
            </w:r>
          </w:p>
          <w:p w14:paraId="0E1F9446" w14:textId="66F79255" w:rsidR="003329CB" w:rsidRPr="00A82ADC" w:rsidRDefault="003329CB" w:rsidP="00A249F7">
            <w:pPr>
              <w:ind w:left="247"/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43F8" w14:textId="77777777" w:rsidR="007434CD" w:rsidRPr="00A82ADC" w:rsidRDefault="007434CD" w:rsidP="007217EB"/>
          <w:p w14:paraId="6C87EB16" w14:textId="7921D22F" w:rsidR="007217EB" w:rsidRPr="004623F1" w:rsidRDefault="007217EB" w:rsidP="007217EB">
            <w:r>
              <w:rPr>
                <w:noProof/>
              </w:rPr>
              <w:drawing>
                <wp:inline distT="0" distB="0" distL="0" distR="0" wp14:anchorId="082D8F3D" wp14:editId="547D3AFE">
                  <wp:extent cx="1704975" cy="2019300"/>
                  <wp:effectExtent l="0" t="0" r="9525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:rsidRPr="004623F1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67D92C95" w:rsidR="007217EB" w:rsidRPr="004623F1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4623F1" w:rsidRDefault="007217EB" w:rsidP="007C21E9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0760E110" w14:textId="61DBFE59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Explicar sucintamente a filosofia da tomada de decisões para a ajuda em dinheiro em relação à ajuda em espécie</w:t>
            </w:r>
          </w:p>
          <w:p w14:paraId="2AA6CBCD" w14:textId="119033A3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Navegar no processo de avaliação necessário para conceber com sucesso um programa de ajuda em dinheiro</w:t>
            </w:r>
          </w:p>
          <w:p w14:paraId="1DE9376A" w14:textId="77777777" w:rsidR="00022405" w:rsidRPr="007C21E9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Defender a utilização de programas de ajuda em dinheiro sempre que viável e adequado</w:t>
            </w:r>
          </w:p>
          <w:p w14:paraId="3378B49A" w14:textId="6AD23933" w:rsidR="007C21E9" w:rsidRPr="00A82ADC" w:rsidRDefault="007C21E9" w:rsidP="007C21E9">
            <w:pPr>
              <w:pStyle w:val="ListParagraph"/>
              <w:ind w:left="791" w:right="183"/>
            </w:pPr>
          </w:p>
        </w:tc>
      </w:tr>
      <w:tr w:rsidR="007217EB" w:rsidRPr="004623F1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51D3EFF2" w:rsidR="007217EB" w:rsidRPr="004623F1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08C7AC08" w:rsidR="007217EB" w:rsidRPr="004623F1" w:rsidRDefault="007217EB" w:rsidP="007217EB">
            <w:r>
              <w:t>Há quatro mensagens-chave da sessão que deve</w:t>
            </w:r>
            <w:r w:rsidR="008356C6">
              <w:t>rá</w:t>
            </w:r>
            <w:r>
              <w:t xml:space="preserve"> destacar. O objetivo é que os participantes sejam capazes de </w:t>
            </w:r>
            <w:r w:rsidR="008356C6">
              <w:t>interiorizar</w:t>
            </w:r>
            <w:r>
              <w:t xml:space="preserve"> e reafirmar estas mensagens-chave com os colegas após a formação.</w:t>
            </w:r>
          </w:p>
          <w:p w14:paraId="506331A1" w14:textId="670D147C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 programação da ajuda em dinheiro é </w:t>
            </w:r>
            <w:r w:rsidR="008356C6">
              <w:t>incentivada,</w:t>
            </w:r>
            <w:r>
              <w:t xml:space="preserve"> mas nem sempre adequada.</w:t>
            </w:r>
          </w:p>
          <w:p w14:paraId="0873C289" w14:textId="77777777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Há muitas abordagens diferentes à ajuda em dinheiro.</w:t>
            </w:r>
          </w:p>
          <w:p w14:paraId="5BFABB77" w14:textId="7BD7C9E3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lastRenderedPageBreak/>
              <w:t>O acompanhamento e a avaliação são componentes essenciais de qualquer programa de ajuda em dinheiro, sendo que o programa terá de evoluir durante a resposta.</w:t>
            </w:r>
          </w:p>
          <w:p w14:paraId="3CF698D3" w14:textId="77777777" w:rsidR="00A06AE1" w:rsidRPr="00A06AE1" w:rsidRDefault="00A06AE1" w:rsidP="00A06AE1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Os programas de ajuda em dinheiro podem ter um grande potencial de abuso e má utilização de recursos.</w:t>
            </w:r>
          </w:p>
          <w:p w14:paraId="3944D94B" w14:textId="69338DAB" w:rsidR="003329CB" w:rsidRPr="00A82ADC" w:rsidRDefault="003329CB" w:rsidP="003329CB">
            <w:pPr>
              <w:ind w:right="183"/>
            </w:pPr>
          </w:p>
        </w:tc>
      </w:tr>
    </w:tbl>
    <w:p w14:paraId="68D97DA5" w14:textId="77777777" w:rsidR="007C21E9" w:rsidRDefault="007C21E9">
      <w:r>
        <w:lastRenderedPageBreak/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4623F1" w14:paraId="36E718FB" w14:textId="77777777" w:rsidTr="009573E6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16FFA7EA" w:rsidR="00FF45EA" w:rsidRPr="004623F1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 (esta é uma sessão rápida)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4623F1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4623F1" w14:paraId="1FFB11B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746A9CF3" w:rsidR="00FF45EA" w:rsidRPr="004623F1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e resumo (diapositivos 1-5)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66D10851" w:rsidR="00FF45EA" w:rsidRPr="004623F1" w:rsidRDefault="008E7B46" w:rsidP="009573E6">
            <w:r>
              <w:t>8 min</w:t>
            </w:r>
          </w:p>
        </w:tc>
      </w:tr>
      <w:tr w:rsidR="00FF45EA" w:rsidRPr="004623F1" w14:paraId="098974C5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F94" w14:textId="7703A0B2" w:rsidR="00FF45EA" w:rsidRPr="004623F1" w:rsidRDefault="00A8524D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A mesma catástrofe, necessidades diferentes - Ajuda em dinheiro atividade 1 e debate (6 e 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BE61" w14:textId="7248D799" w:rsidR="00FF45EA" w:rsidRPr="004623F1" w:rsidRDefault="00FF45EA" w:rsidP="009573E6">
            <w:r>
              <w:t>25 min</w:t>
            </w:r>
          </w:p>
        </w:tc>
      </w:tr>
      <w:tr w:rsidR="00FF45EA" w:rsidRPr="004623F1" w14:paraId="5C3732A9" w14:textId="77777777" w:rsidTr="009573E6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61D6" w14:textId="4CE4A0FE" w:rsidR="00FF45EA" w:rsidRPr="004623F1" w:rsidRDefault="00F92881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Considerações no âmbito da ajuda em dinheiro (8-14)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864" w14:textId="29A3545A" w:rsidR="00FF45EA" w:rsidRPr="004623F1" w:rsidRDefault="00DF6FB6" w:rsidP="009573E6">
            <w:r>
              <w:t>15 min</w:t>
            </w:r>
          </w:p>
        </w:tc>
      </w:tr>
      <w:tr w:rsidR="00FF45EA" w:rsidRPr="004623F1" w14:paraId="16A6869C" w14:textId="77777777" w:rsidTr="009573E6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7188" w14:textId="2724A2E4" w:rsidR="00FF45EA" w:rsidRPr="004623F1" w:rsidRDefault="00537753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As muitas formas d</w:t>
            </w:r>
            <w:r w:rsidR="007E7962">
              <w:t>e</w:t>
            </w:r>
            <w:r>
              <w:t xml:space="preserve"> ajuda em dinheiro - Ajuda em dinheiro atividade 2 e debate (15 e 16)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5D14" w14:textId="3FE6A0FE" w:rsidR="00FF45EA" w:rsidRPr="004623F1" w:rsidRDefault="00FF45EA" w:rsidP="009573E6">
            <w:pPr>
              <w:rPr>
                <w:color w:val="FF0000"/>
              </w:rPr>
            </w:pPr>
            <w:r>
              <w:t>15 min</w:t>
            </w:r>
          </w:p>
        </w:tc>
      </w:tr>
      <w:tr w:rsidR="00FF45EA" w:rsidRPr="004623F1" w14:paraId="01E2C353" w14:textId="77777777" w:rsidTr="007C21E9">
        <w:trPr>
          <w:trHeight w:val="152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C6F2" w14:textId="7C3B4D92" w:rsidR="00FF45EA" w:rsidRPr="004623F1" w:rsidRDefault="00A317DB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Listas de verificação da ajuda em dinheiro (17-19)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3B7" w14:textId="5C745C3E" w:rsidR="00FF45EA" w:rsidRPr="004623F1" w:rsidRDefault="008E7B46" w:rsidP="007C21E9">
            <w:r>
              <w:t>7 min</w:t>
            </w:r>
          </w:p>
        </w:tc>
      </w:tr>
      <w:tr w:rsidR="00FF45EA" w:rsidRPr="004623F1" w14:paraId="66A8FEEB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F156" w14:textId="17C6C55A" w:rsidR="00FF45EA" w:rsidRPr="004623F1" w:rsidRDefault="00A317DB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Os programas de ajuda em dinheiro do ponto de vista dos beneficiários (vídeo e debate) (20-22)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5434" w14:textId="75DD9E73" w:rsidR="00FF45EA" w:rsidRPr="004623F1" w:rsidRDefault="00DF6FB6" w:rsidP="009573E6">
            <w:r>
              <w:t>15 min</w:t>
            </w:r>
          </w:p>
        </w:tc>
      </w:tr>
      <w:tr w:rsidR="00FF45EA" w:rsidRPr="004623F1" w14:paraId="25174E3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7C4" w14:textId="407715C5" w:rsidR="00FF45EA" w:rsidRPr="004623F1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 xml:space="preserve">Pontos finais e encerramento (23–25)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7B6" w14:textId="7B5ABA27" w:rsidR="00FF45EA" w:rsidRPr="004623F1" w:rsidRDefault="00DF6FB6" w:rsidP="009573E6">
            <w:r>
              <w:t>5 min</w:t>
            </w:r>
          </w:p>
        </w:tc>
      </w:tr>
      <w:tr w:rsidR="00FF45EA" w:rsidRPr="004623F1" w14:paraId="69D17258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77777777" w:rsidR="00FF45EA" w:rsidRPr="004623F1" w:rsidRDefault="00FF45EA" w:rsidP="009573E6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6B5A9DB9" w14:textId="77777777" w:rsidR="00FF45EA" w:rsidRPr="004623F1" w:rsidRDefault="00FF45EA" w:rsidP="009573E6">
            <w:pPr>
              <w:rPr>
                <w:b/>
                <w:lang w:val="en-GB"/>
              </w:rPr>
            </w:pPr>
          </w:p>
          <w:p w14:paraId="5390A447" w14:textId="4C69DD07" w:rsidR="00FF45EA" w:rsidRDefault="00312B87" w:rsidP="009573E6">
            <w:pPr>
              <w:rPr>
                <w:b/>
              </w:rPr>
            </w:pPr>
            <w:r>
              <w:t xml:space="preserve">Imprima os </w:t>
            </w:r>
            <w:r w:rsidR="007E7962">
              <w:t>folhetos</w:t>
            </w:r>
            <w:r>
              <w:t xml:space="preserve"> para esta sessão e prepare-os para distribuição e a sua própria análise previamente</w:t>
            </w:r>
            <w:r w:rsidR="007E7962">
              <w:t>,</w:t>
            </w:r>
            <w:r>
              <w:t xml:space="preserve"> para facilitar a logística da sua sessão.</w:t>
            </w:r>
          </w:p>
          <w:p w14:paraId="6D5DDBEB" w14:textId="77777777" w:rsidR="00312B87" w:rsidRPr="00A82ADC" w:rsidRDefault="00312B87" w:rsidP="009573E6">
            <w:pPr>
              <w:rPr>
                <w:b/>
              </w:rPr>
            </w:pPr>
          </w:p>
          <w:p w14:paraId="1AEF725D" w14:textId="2FEE8902" w:rsidR="00A317DB" w:rsidRPr="004623F1" w:rsidRDefault="00FF45EA" w:rsidP="009573E6">
            <w:r>
              <w:t xml:space="preserve">O exercício individual </w:t>
            </w:r>
            <w:r>
              <w:rPr>
                <w:b/>
                <w:bCs/>
              </w:rPr>
              <w:t xml:space="preserve">STP 17 </w:t>
            </w:r>
            <w:r w:rsidR="007E7962" w:rsidRPr="007E7962">
              <w:rPr>
                <w:b/>
              </w:rPr>
              <w:t>CBA Activity 1.docx</w:t>
            </w:r>
            <w:r w:rsidR="007E7962" w:rsidRPr="007E7962">
              <w:t xml:space="preserve"> </w:t>
            </w:r>
            <w:r w:rsidR="007E7962" w:rsidRPr="007E7962">
              <w:t>(</w:t>
            </w:r>
            <w:r>
              <w:rPr>
                <w:b/>
                <w:bCs/>
              </w:rPr>
              <w:t>Ajuda em Dinheiro Atividade 1</w:t>
            </w:r>
            <w:r w:rsidR="007E7962">
              <w:rPr>
                <w:b/>
                <w:bCs/>
              </w:rPr>
              <w:t>)</w:t>
            </w:r>
            <w:r>
              <w:t xml:space="preserve"> requer a impressão de um exemplar de </w:t>
            </w:r>
            <w:r>
              <w:rPr>
                <w:b/>
                <w:bCs/>
              </w:rPr>
              <w:t xml:space="preserve">STP 17 </w:t>
            </w:r>
            <w:r w:rsidR="007E7962" w:rsidRPr="007E7962">
              <w:rPr>
                <w:b/>
              </w:rPr>
              <w:t>Activity sheet.docx</w:t>
            </w:r>
            <w:r w:rsidR="007E7962" w:rsidRPr="007E7962">
              <w:t xml:space="preserve"> </w:t>
            </w:r>
            <w:r w:rsidR="007E7962" w:rsidRPr="007E7962">
              <w:t>(</w:t>
            </w:r>
            <w:r>
              <w:rPr>
                <w:b/>
                <w:bCs/>
              </w:rPr>
              <w:t>Folha de atividades</w:t>
            </w:r>
            <w:r w:rsidR="007E7962">
              <w:rPr>
                <w:b/>
                <w:bCs/>
              </w:rPr>
              <w:t>)</w:t>
            </w:r>
            <w:r>
              <w:t xml:space="preserve"> e um exemplar de </w:t>
            </w:r>
            <w:r>
              <w:rPr>
                <w:b/>
                <w:bCs/>
              </w:rPr>
              <w:t xml:space="preserve">STP 17 </w:t>
            </w:r>
            <w:r w:rsidR="00FB445F" w:rsidRPr="00FB445F">
              <w:rPr>
                <w:b/>
              </w:rPr>
              <w:t>Answer Sheet.docx</w:t>
            </w:r>
            <w:r w:rsidR="00FB445F" w:rsidRPr="00FB445F">
              <w:t xml:space="preserve"> </w:t>
            </w:r>
            <w:r w:rsidR="00FB445F" w:rsidRPr="00FB445F">
              <w:t>(</w:t>
            </w:r>
            <w:r>
              <w:rPr>
                <w:b/>
                <w:bCs/>
              </w:rPr>
              <w:t>Folha de respostas</w:t>
            </w:r>
            <w:r w:rsidR="00FB445F">
              <w:rPr>
                <w:b/>
                <w:bCs/>
              </w:rPr>
              <w:t>)</w:t>
            </w:r>
            <w:r>
              <w:t xml:space="preserve"> </w:t>
            </w:r>
            <w:r>
              <w:rPr>
                <w:i/>
                <w:iCs/>
              </w:rPr>
              <w:t>por participante.</w:t>
            </w:r>
            <w:r>
              <w:t xml:space="preserve"> O participante também </w:t>
            </w:r>
            <w:r w:rsidR="007E7962">
              <w:t xml:space="preserve">irá </w:t>
            </w:r>
            <w:r>
              <w:t>precisar de canetas e pode</w:t>
            </w:r>
            <w:r w:rsidR="007E7962">
              <w:t>rá</w:t>
            </w:r>
            <w:r>
              <w:t xml:space="preserve"> usar uma calculadora ou o seu </w:t>
            </w:r>
            <w:r w:rsidR="007E7962">
              <w:t xml:space="preserve">telemóvel </w:t>
            </w:r>
            <w:r>
              <w:t xml:space="preserve">para </w:t>
            </w:r>
            <w:r w:rsidR="007E7962">
              <w:t>fazer contas</w:t>
            </w:r>
            <w:r>
              <w:t>, se assim o desejar.</w:t>
            </w:r>
          </w:p>
          <w:p w14:paraId="38F8B207" w14:textId="77777777" w:rsidR="00E100DA" w:rsidRPr="00A82ADC" w:rsidRDefault="00E100DA" w:rsidP="00E100DA"/>
          <w:p w14:paraId="2E5E1D33" w14:textId="01E66FF5" w:rsidR="00F90606" w:rsidRDefault="00A317DB" w:rsidP="00F90606">
            <w:r>
              <w:t>O exercício em pequenos grupo</w:t>
            </w:r>
            <w:r w:rsidR="007E7962">
              <w:t>s</w:t>
            </w:r>
            <w:r>
              <w:t xml:space="preserve"> </w:t>
            </w:r>
            <w:r>
              <w:rPr>
                <w:b/>
                <w:bCs/>
              </w:rPr>
              <w:t xml:space="preserve">STP 17 </w:t>
            </w:r>
            <w:r w:rsidR="00FB445F" w:rsidRPr="00FB445F">
              <w:rPr>
                <w:b/>
              </w:rPr>
              <w:t>CBA Activity 2.docx</w:t>
            </w:r>
            <w:r w:rsidR="00FB445F" w:rsidRPr="00FB445F">
              <w:t xml:space="preserve"> </w:t>
            </w:r>
            <w:r w:rsidR="00FB445F" w:rsidRPr="00FB445F">
              <w:t>(</w:t>
            </w:r>
            <w:r>
              <w:rPr>
                <w:b/>
                <w:bCs/>
              </w:rPr>
              <w:t>Ajuda em Dinheiro Atividade 2</w:t>
            </w:r>
            <w:r w:rsidR="00FB445F">
              <w:rPr>
                <w:b/>
                <w:bCs/>
              </w:rPr>
              <w:t>)</w:t>
            </w:r>
            <w:r>
              <w:t xml:space="preserve"> </w:t>
            </w:r>
            <w:r w:rsidR="007E7962">
              <w:t xml:space="preserve">irá </w:t>
            </w:r>
            <w:r>
              <w:t xml:space="preserve">exigir um pouco mais de preparação. Cada mesa </w:t>
            </w:r>
            <w:r w:rsidR="007E7962">
              <w:t xml:space="preserve">irá necessitar </w:t>
            </w:r>
            <w:r>
              <w:t xml:space="preserve">de um envelope contendo as 26 peças a combinar, bem como uma folha de respostas (a ser distribuída no final do exercício. Para preparar os envelopes, imprima tantos exemplares do ficheiro </w:t>
            </w:r>
            <w:r>
              <w:rPr>
                <w:b/>
                <w:bCs/>
              </w:rPr>
              <w:t>STP 17 Ajuda em Dinheiro Atividade 2.docx</w:t>
            </w:r>
            <w:r>
              <w:t xml:space="preserve"> quanto o número de mesas que prevê para a sua formação. Depois, recorte todas as 13 tiras </w:t>
            </w:r>
            <w:r w:rsidR="007E7962">
              <w:t>relativas ao</w:t>
            </w:r>
            <w:r>
              <w:t xml:space="preserve"> “tipo de ajuda em dinheiro” e as 13 tiras de “exemplo</w:t>
            </w:r>
            <w:r w:rsidR="007E7962">
              <w:t>s</w:t>
            </w:r>
            <w:r>
              <w:t>”. Coloque as 26 tiras num envelope</w:t>
            </w:r>
            <w:r w:rsidR="007E7962">
              <w:t xml:space="preserve">, </w:t>
            </w:r>
            <w:r>
              <w:t>rep</w:t>
            </w:r>
            <w:r w:rsidR="007E7962">
              <w:t xml:space="preserve">etindo </w:t>
            </w:r>
            <w:r>
              <w:t>o processo para cada mesa.</w:t>
            </w:r>
          </w:p>
          <w:p w14:paraId="30C0A6F2" w14:textId="768A2FF1" w:rsidR="00F90606" w:rsidRPr="00A82ADC" w:rsidRDefault="00F90606" w:rsidP="00F90606"/>
        </w:tc>
      </w:tr>
      <w:tr w:rsidR="00AD626C" w:rsidRPr="004623F1" w14:paraId="3334DB3A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241" w14:textId="77777777" w:rsidR="00FB445F" w:rsidRDefault="00FB445F" w:rsidP="00FB445F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6628DCE1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48AE98B3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6D24F99E" w14:textId="77777777" w:rsidR="00FB445F" w:rsidRDefault="00FB445F" w:rsidP="00FB445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3E89267F" w14:textId="77777777" w:rsidR="00FB445F" w:rsidRDefault="00FB445F" w:rsidP="00FB445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2E96B8F8" w14:textId="77777777" w:rsidR="00FB445F" w:rsidRDefault="00FB445F" w:rsidP="00FB445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lastRenderedPageBreak/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6742CBF9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0897ED0C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476D93D1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51CC8414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2DF3D439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7E216A31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62F3D1AF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3EC01864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6A748ACB" w14:textId="77777777" w:rsidR="00FB445F" w:rsidRPr="00DA42E4" w:rsidRDefault="00FB445F" w:rsidP="00FB445F">
            <w:pPr>
              <w:rPr>
                <w:b/>
              </w:rPr>
            </w:pPr>
          </w:p>
          <w:p w14:paraId="13FD7F1E" w14:textId="77777777" w:rsidR="00FB445F" w:rsidRDefault="00FB445F" w:rsidP="00FB445F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7F024E8D" w14:textId="77777777" w:rsidR="00FB445F" w:rsidRDefault="00FB445F" w:rsidP="00FB445F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168C8151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2749D146" w14:textId="77777777" w:rsidR="00FB445F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55EE43E5" w14:textId="77777777" w:rsidR="00FB445F" w:rsidRPr="00DA42E4" w:rsidRDefault="00FB445F" w:rsidP="00FB445F">
            <w:pPr>
              <w:spacing w:line="252" w:lineRule="auto"/>
              <w:rPr>
                <w:bCs/>
              </w:rPr>
            </w:pPr>
          </w:p>
          <w:p w14:paraId="30AF7D63" w14:textId="77777777" w:rsidR="00FB445F" w:rsidRDefault="00FB445F" w:rsidP="00FB445F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576A0698" w14:textId="77777777" w:rsidR="00FB445F" w:rsidRDefault="00FB445F" w:rsidP="00FB445F">
            <w:pPr>
              <w:pStyle w:val="ListParagraph"/>
              <w:numPr>
                <w:ilvl w:val="0"/>
                <w:numId w:val="20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198BE7F0" w14:textId="77777777" w:rsidR="00FB445F" w:rsidRPr="00DA42E4" w:rsidRDefault="00FB445F" w:rsidP="00FB445F">
            <w:pPr>
              <w:spacing w:line="252" w:lineRule="auto"/>
              <w:rPr>
                <w:bCs/>
              </w:rPr>
            </w:pPr>
          </w:p>
          <w:p w14:paraId="274D9930" w14:textId="77777777" w:rsidR="00FB445F" w:rsidRDefault="00FB445F" w:rsidP="00FB445F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72BD9276" w14:textId="1FAA6ED5" w:rsidR="00AD626C" w:rsidRDefault="00FB445F" w:rsidP="00FB445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</w:t>
            </w:r>
            <w:r>
              <w:t>.</w:t>
            </w:r>
          </w:p>
          <w:p w14:paraId="3EA3F683" w14:textId="189B0338" w:rsidR="00AD626C" w:rsidRPr="00A82ADC" w:rsidRDefault="00AD626C" w:rsidP="00AD626C">
            <w:pPr>
              <w:rPr>
                <w:b/>
              </w:rPr>
            </w:pPr>
          </w:p>
        </w:tc>
      </w:tr>
    </w:tbl>
    <w:p w14:paraId="578EBB0F" w14:textId="77777777" w:rsidR="007C21E9" w:rsidRDefault="007C21E9">
      <w:r>
        <w:lastRenderedPageBreak/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AD626C" w:rsidRPr="004623F1" w14:paraId="44BDA7B2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012F3C1E" w:rsidR="00AD626C" w:rsidRPr="004623F1" w:rsidRDefault="00FB445F" w:rsidP="00AD626C">
            <w:pPr>
              <w:rPr>
                <w:b/>
              </w:rPr>
            </w:pPr>
            <w:r>
              <w:rPr>
                <w:b/>
              </w:rPr>
              <w:lastRenderedPageBreak/>
              <w:t>Sugestões</w:t>
            </w:r>
            <w:r w:rsidR="00AD626C">
              <w:rPr>
                <w:b/>
              </w:rPr>
              <w:t xml:space="preserve"> para alteração local</w:t>
            </w:r>
          </w:p>
          <w:p w14:paraId="4485679E" w14:textId="77777777" w:rsidR="00AD626C" w:rsidRPr="004623F1" w:rsidRDefault="00AD626C" w:rsidP="00AD626C">
            <w:pPr>
              <w:rPr>
                <w:lang w:val="en-GB"/>
              </w:rPr>
            </w:pPr>
          </w:p>
          <w:p w14:paraId="05C9445D" w14:textId="0C21EC8B" w:rsidR="00AD626C" w:rsidRPr="004623F1" w:rsidRDefault="00AD626C" w:rsidP="00AD626C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equipamento para apresentar diapositivos em PowerPoint, imprima os diapositivos em papel A3 com antecedência e realize a sessão como um evento ao vivo.</w:t>
            </w:r>
          </w:p>
          <w:p w14:paraId="726DB8A6" w14:textId="197BBFC6" w:rsidR="00AD626C" w:rsidRPr="00402056" w:rsidRDefault="00AD626C" w:rsidP="00AD626C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Se não conseguir reproduzir o vídeo incluído, não o apresente e pergunte se existem exemplos específicos de um programa CBA no país em que está a ministrar a formação. Peça aos participantes que estão familiarizados com o programa que o apresentem como um micro-estudo de caso e reveja as perguntas de debate no diapositivo 26. Tenha em atenção que uma apresentação ao vivo demorará mais tempo do que o vídeo</w:t>
            </w:r>
            <w:r w:rsidR="00FB445F">
              <w:t>,</w:t>
            </w:r>
            <w:r>
              <w:t xml:space="preserve"> pelo que terá de ajustar a duração da sessão em conformidade.</w:t>
            </w:r>
          </w:p>
          <w:p w14:paraId="15504D99" w14:textId="78085339" w:rsidR="00AD626C" w:rsidRPr="00A82ADC" w:rsidRDefault="00AD626C" w:rsidP="00AD626C">
            <w:pPr>
              <w:pStyle w:val="ListParagraph"/>
              <w:rPr>
                <w:b/>
              </w:rPr>
            </w:pPr>
          </w:p>
        </w:tc>
      </w:tr>
    </w:tbl>
    <w:p w14:paraId="594D5E75" w14:textId="77777777" w:rsidR="00232CFB" w:rsidRDefault="00232CFB" w:rsidP="00FF45EA"/>
    <w:sectPr w:rsidR="00232CFB" w:rsidSect="00C72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1357" w14:textId="77777777" w:rsidR="001A35A6" w:rsidRDefault="001A35A6" w:rsidP="009F2306">
      <w:pPr>
        <w:spacing w:after="0" w:line="240" w:lineRule="auto"/>
      </w:pPr>
      <w:r>
        <w:separator/>
      </w:r>
    </w:p>
  </w:endnote>
  <w:endnote w:type="continuationSeparator" w:id="0">
    <w:p w14:paraId="04FBA02B" w14:textId="77777777" w:rsidR="001A35A6" w:rsidRDefault="001A35A6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05D8" w14:textId="77777777" w:rsidR="008B79E7" w:rsidRDefault="008B79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517" w14:textId="77777777" w:rsidR="008B79E7" w:rsidRDefault="008B7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0BC9" w14:textId="77777777" w:rsidR="001A35A6" w:rsidRDefault="001A35A6" w:rsidP="009F2306">
      <w:pPr>
        <w:spacing w:after="0" w:line="240" w:lineRule="auto"/>
      </w:pPr>
      <w:r>
        <w:separator/>
      </w:r>
    </w:p>
  </w:footnote>
  <w:footnote w:type="continuationSeparator" w:id="0">
    <w:p w14:paraId="6CF818C4" w14:textId="77777777" w:rsidR="001A35A6" w:rsidRDefault="001A35A6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784D" w14:textId="77777777" w:rsidR="008B79E7" w:rsidRDefault="008B79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2FEE0BCE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– Sessão 17 – Esfera, Dinheiro e Mercados</w:t>
    </w:r>
  </w:p>
  <w:p w14:paraId="04454F13" w14:textId="77777777" w:rsidR="004650C3" w:rsidRDefault="00465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39E83" w14:textId="77777777" w:rsidR="008B79E7" w:rsidRDefault="008B79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10"/>
  </w:num>
  <w:num w:numId="9">
    <w:abstractNumId w:val="15"/>
  </w:num>
  <w:num w:numId="10">
    <w:abstractNumId w:val="13"/>
  </w:num>
  <w:num w:numId="11">
    <w:abstractNumId w:val="14"/>
  </w:num>
  <w:num w:numId="12">
    <w:abstractNumId w:val="14"/>
  </w:num>
  <w:num w:numId="13">
    <w:abstractNumId w:val="2"/>
  </w:num>
  <w:num w:numId="14">
    <w:abstractNumId w:val="8"/>
  </w:num>
  <w:num w:numId="15">
    <w:abstractNumId w:val="6"/>
  </w:num>
  <w:num w:numId="16">
    <w:abstractNumId w:val="9"/>
  </w:num>
  <w:num w:numId="17">
    <w:abstractNumId w:val="16"/>
  </w:num>
  <w:num w:numId="18">
    <w:abstractNumId w:val="5"/>
  </w:num>
  <w:num w:numId="19">
    <w:abstractNumId w:val="14"/>
  </w:num>
  <w:num w:numId="20">
    <w:abstractNumId w:val="1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22405"/>
    <w:rsid w:val="0004569E"/>
    <w:rsid w:val="000B71BE"/>
    <w:rsid w:val="000D7A20"/>
    <w:rsid w:val="001011C2"/>
    <w:rsid w:val="001374BF"/>
    <w:rsid w:val="001A35A6"/>
    <w:rsid w:val="001A59AE"/>
    <w:rsid w:val="001C4533"/>
    <w:rsid w:val="001C6EBD"/>
    <w:rsid w:val="00232CFB"/>
    <w:rsid w:val="00244E9D"/>
    <w:rsid w:val="0026204F"/>
    <w:rsid w:val="00287474"/>
    <w:rsid w:val="00297F18"/>
    <w:rsid w:val="0030545E"/>
    <w:rsid w:val="00312B87"/>
    <w:rsid w:val="00327B50"/>
    <w:rsid w:val="00330290"/>
    <w:rsid w:val="003329CB"/>
    <w:rsid w:val="00336741"/>
    <w:rsid w:val="00340204"/>
    <w:rsid w:val="003907F4"/>
    <w:rsid w:val="003C40EB"/>
    <w:rsid w:val="003E6061"/>
    <w:rsid w:val="003F0870"/>
    <w:rsid w:val="00402056"/>
    <w:rsid w:val="004023C2"/>
    <w:rsid w:val="004623F1"/>
    <w:rsid w:val="004650C3"/>
    <w:rsid w:val="00494258"/>
    <w:rsid w:val="004B5F46"/>
    <w:rsid w:val="004F1D98"/>
    <w:rsid w:val="00537753"/>
    <w:rsid w:val="00634BF2"/>
    <w:rsid w:val="00664310"/>
    <w:rsid w:val="006A14CD"/>
    <w:rsid w:val="006D58CF"/>
    <w:rsid w:val="006E6F05"/>
    <w:rsid w:val="007217EB"/>
    <w:rsid w:val="007379D9"/>
    <w:rsid w:val="007434CD"/>
    <w:rsid w:val="00756AE5"/>
    <w:rsid w:val="00767BF0"/>
    <w:rsid w:val="007A6648"/>
    <w:rsid w:val="007C21E9"/>
    <w:rsid w:val="007D0918"/>
    <w:rsid w:val="007E7962"/>
    <w:rsid w:val="008119FA"/>
    <w:rsid w:val="00827CD3"/>
    <w:rsid w:val="008356C6"/>
    <w:rsid w:val="008618BA"/>
    <w:rsid w:val="00876819"/>
    <w:rsid w:val="008919CC"/>
    <w:rsid w:val="008949C5"/>
    <w:rsid w:val="008A3E1E"/>
    <w:rsid w:val="008B79E7"/>
    <w:rsid w:val="008C519C"/>
    <w:rsid w:val="008D2457"/>
    <w:rsid w:val="008D6174"/>
    <w:rsid w:val="008E7B46"/>
    <w:rsid w:val="009507B6"/>
    <w:rsid w:val="0099079E"/>
    <w:rsid w:val="009938DD"/>
    <w:rsid w:val="009A1723"/>
    <w:rsid w:val="009F2306"/>
    <w:rsid w:val="00A0170B"/>
    <w:rsid w:val="00A06AE1"/>
    <w:rsid w:val="00A07B8C"/>
    <w:rsid w:val="00A249F7"/>
    <w:rsid w:val="00A317DB"/>
    <w:rsid w:val="00A353A7"/>
    <w:rsid w:val="00A46EE1"/>
    <w:rsid w:val="00A539E2"/>
    <w:rsid w:val="00A82ADC"/>
    <w:rsid w:val="00A8524D"/>
    <w:rsid w:val="00AA699A"/>
    <w:rsid w:val="00AB4AC5"/>
    <w:rsid w:val="00AB63E3"/>
    <w:rsid w:val="00AD626C"/>
    <w:rsid w:val="00AE320C"/>
    <w:rsid w:val="00AF374E"/>
    <w:rsid w:val="00B24A55"/>
    <w:rsid w:val="00B33236"/>
    <w:rsid w:val="00B722BC"/>
    <w:rsid w:val="00B9610E"/>
    <w:rsid w:val="00BE70E7"/>
    <w:rsid w:val="00C72BB7"/>
    <w:rsid w:val="00C815F9"/>
    <w:rsid w:val="00C82511"/>
    <w:rsid w:val="00CD7BEB"/>
    <w:rsid w:val="00D06489"/>
    <w:rsid w:val="00DF6FB6"/>
    <w:rsid w:val="00E100DA"/>
    <w:rsid w:val="00E2734E"/>
    <w:rsid w:val="00E36C50"/>
    <w:rsid w:val="00F0412D"/>
    <w:rsid w:val="00F1200F"/>
    <w:rsid w:val="00F15619"/>
    <w:rsid w:val="00F90606"/>
    <w:rsid w:val="00F92881"/>
    <w:rsid w:val="00FB445F"/>
    <w:rsid w:val="00FC19EA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character" w:styleId="Hyperlink">
    <w:name w:val="Hyperlink"/>
    <w:basedOn w:val="DefaultParagraphFont"/>
    <w:uiPriority w:val="99"/>
    <w:unhideWhenUsed/>
    <w:rsid w:val="00327B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87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022405"/>
  </w:style>
  <w:style w:type="character" w:styleId="CommentReference">
    <w:name w:val="annotation reference"/>
    <w:basedOn w:val="DefaultParagraphFont"/>
    <w:uiPriority w:val="99"/>
    <w:semiHidden/>
    <w:unhideWhenUsed/>
    <w:rsid w:val="00990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7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7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7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15</c:v>
                </c:pt>
                <c:pt idx="1">
                  <c:v>50</c:v>
                </c:pt>
                <c:pt idx="2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97A843E5-1D16-4AFD-9A20-B6F5DF889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C414FE-F328-4A7D-AE2C-530B9B4458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FB92B-CF29-40F8-B50A-F845F41EADAA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1648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17 TN Sphere Cash and Markets</dc:title>
  <dc:subject>tradução de en-pt</dc:subject>
  <dc:creator>Jim Good;Luísa Merki</dc:creator>
  <cp:keywords>2021107</cp:keywords>
  <dc:description/>
  <cp:lastModifiedBy>Luisa</cp:lastModifiedBy>
  <cp:revision>10</cp:revision>
  <cp:lastPrinted>2019-02-27T14:35:00Z</cp:lastPrinted>
  <dcterms:created xsi:type="dcterms:W3CDTF">2019-04-20T07:51:00Z</dcterms:created>
  <dcterms:modified xsi:type="dcterms:W3CDTF">2021-07-12T13:56:00Z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6890600</vt:r8>
  </property>
</Properties>
</file>